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 that there is an overlap between the T/F and multiple-choice questions, as some of the T/F statements are used in multiple-choice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True/False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under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Chairman of the Board must also be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and proprietorships generally have a tax advantage over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the corporate form of organization is that corporate stockholders are more exposed to personal liabilities in the event of bankruptcy than are investors in a typical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the corporate form of organization is that corporations are generally less highly regulated than proprietorships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partners in a partnership may have different rights, privileges, and responsibilities than other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it avoids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harder to transfer one's ownership interest in a partnership than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it can avoid the corporate tax. However, its stockholders will have to pay personal taxes on the firm's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greater the probability that it will be organized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rather than a partnership is that this makes it more difficult for the firm's investors to transfer their ownership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as a corporation makes it easier for the firm to raise capital. This is because corporations' stockholders are not subject to personal liabilities if the firm goes bankrupt and also because it is easier to transfer shares of stock than partnership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in the long run, or the stock's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management operates in a manner designed to maximize the firm's expected profits for the current year, this will also maximize the stockholders' wealth as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expected 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on a specific target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financial scandals occurring during the past decade, there has been a strong push to improve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banks and to stockholders. It is illegal to provide such information to banks, but it is not illegal to provide it to stockholders because they are the owners of the firm, not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stock's market price would equal its intrinsic value if all investors had all the information that is available about the stock. In this case the stock's market price would equal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market price is above its intrinsic value, then the stock can be thought of as being undervalued, and it would be a good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intrinsic value is greater than its market price, then the stock is overvalued and should be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as the book defines it, its market price should exceed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"marginal investor" means an investor who is active in the market and would tend to buy a stock if its price fell and sell it if it rose, barring any new information coming out about the stock. It is the "marginal investor" who determines the actual stock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always attempt to maximize the long-run value of their firms' stocks, or the stocks' intrinsic values. This is exactly what stockholders desire. Thus, conflicts between stockholders and managers are not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said to occur when another corporation or group of investors gains voting control over a firm and replaces the old managers. If the old managers were managing the firm inefficiently, then hostile takeovers can improve the economy. However, hostile takeovers are controversial, and legislative actions have been taken to make them more difficult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increase profits above the correct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told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increases profits, this can cause the stock price to rise above its intrinsic value. The stock price will probably fall in the future. Also, those who participated in the fraud can be prosecuted, and the firm itself can be penalized.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board of directors wants to maximize value for its stockholders in general (as opposed to some specific stockholders), it should design an executive compensation system whose focus is on the firm's long-term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Conceptual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Please note that some of the answer choices, or answers that are very close, are used in different questions. This has caused us no difficulties, but please take this into account when you make up exams.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your business is that you could become subject to the firm's liabilities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and partnerships generally have a tax advantage over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Some corporations (S corporations) are able to avoid the corporate income tax. Proprietorships and partnerships pay personal income tax, but they avoid the corporate income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they would be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proprietor is that the firm is subject to double taxation, because taxes are levied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limited liability; however, they face more regulations than the other forms of organization. Proprietorships do not pay corporate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Relaxant Inc. operates as a partnership. Now the partners have decided to convert the business into a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Relaxant's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probably be subject to fewer regulations and required disclosures.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the firm is profitable, none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find it more difficult to raise additional capital to support its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tax disadvantage to incorporation, and there is no way any corporation can escape this disadvantage, even if it is very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ownership in a proprietorship or partnership is transferred, the basic documents under which the firm operates must be rewritten, whereas for a corporation the seller simply sells shares to a buyer.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 to 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easier to raise large amounts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Outsiders thinking about investing in a business are generally not willing to be subjected to unlimited liability, and they also want to be able to sell their shares should they choose to do so. Corporations provide these advantages; hence, firms that need large amounts of capital that must be raised in capital markets generally choose to incorporate.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total corporate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3"/>
              <w:gridCol w:w="6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primary operating goal should be to maximize the long-run stock price, or the intrinsic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above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law in most states, the chairman of the board must also be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generally reports to the firm's chief accounting officer, who is normally the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is responsible for raising capital and for making sure that capital expenditures are desirable, but he or she is not responsible for the validity of the financial statements, as the controller and the auditors have that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generally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subjects the firm's investors to increased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makes it more difficult for the firm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it subjects the firm's investors to fewer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is that it is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4"/>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Corporations have to do more reporting to state and federal agencies than other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smaller the probability that it will be organized as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proprietorships or partnerships because it is easier to set up and operate one of these forms rather than as a corporation. However, if the business gets very large, it becomes advantageous to convert to a corporation, primarily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legal considerations related to ownership transfers and limited liability, which affect the ability to attract capital, most business (measured by dollar sales) is conducted by corporations in spite of large corporations' less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the main method of transferring ownership interest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created by a state, and it has a life and existence that is separate from the lives and existence of its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liability and limited life are two key advantages of the corporate form over other forms of business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is an advantage of the corporate form of organization to its owners (stockholders),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stockholders of the corporation are insulated by limited legal liability, the legal status of the corporation does not protect the firm's managers in the same way, i.e., bondholders can sue the firm's managers if the firm defaults on its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limited partnership, the limited partners have voting control, while the general partner has operating control over the business, and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more difficulty attracting large amounts of capital than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trying to best serve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managers' own interests, which are by definition consistent with maximizing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 which must also maximize the firm's price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firm's risks because most stockholders dislike risk. In turn, this will maximize the firm's 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well-structured managerial compensation package to reduce conflicts that may exist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measure a stock's intrinsic value, the text states that it is better for managers to attempt to maximize the current stock price than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FFMC.BRIG.16.01.04 -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BUSPROG.FOFM.BRIG.16.06.FOFM.BRI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and compensation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managers large cash salaries and give them no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corporation's formal documents to make it easier for outside investors to acquire a controlling interest in the firm through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 up the restrictive covenants in the firm's debt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must hold a high percentage of their personal wealth in the firm's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firm that compensates managers with stock options, reduce the time before options are vested, i.e., the time before options can be exercised and the shares that are received can be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Corporate takeovers are most likely to occur when a firm is underperforming. Managers who fear losing their jobs will try to maximize shareholder wealth.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passes a law that severely restricts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compensation system is changed so that managers receive larger cash salaries but fewer long-term options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changes the way executive stock options are handled, with all options vesting after 2 years rather than having 20% of the options awarded vest every 2 years over a 10-year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outside auditing firm is given a lucrative year-by-year consulting contract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board of directors is changed from all inside directors to all outside directors, and the directors are compensated with stock rather than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mechanisms would be most likely to help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motivate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to act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use of restrictive covenants in bond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actions that reduce the possibility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 a board of directors that allows managers greater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executive compensation that comes from stock options and reduce the proportion that is paid as cash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have a substantial investment in the firm's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encourage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firm's managers to make decisions that are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executive compensation that comes in the form of cash is increased and the percentage coming from long-term stock options is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legislature passes a law that makes it more difficult to successfully complete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firm's stock that is held by institutional investors such as mutual funds, pension funds, and hedge funds rather than by small individual investors rises from 10% to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founder, who is also president and chairman of the board, sells 90% of her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board of directors gives the firm's managers greater freedom to take whatever actions they think best without obtaining board approval.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Small stockholders have little clout with management, while large institutional investors are better able to force managers to operate in stockholders'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risky projects with additional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covenants in bond agreements that limit the firm's use of additional debt and constrain managers'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Abolishing the Security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Stock options and the threat of takeovers reduce conflicts between managers and shareholders. Financing risky projects with additional debt increases the potential for conflicts between stockholders and bondholders. Adding covenants to bond agreements will reduce conflicts between stockholders and bondholders.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restrictive covenants in the company's bond indenture (which is the contract between the company and its bondholders).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more stock options and less cash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passage of laws that make it harder for hostile takeovers to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regulation that banned the use of convertible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begins to use only long-term debt, e.g., debt that matures in 30 years or more, rather than debt that matures in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artificially increase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ordered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outsiders. It is illegal to provide such information to federally regulated banks, but it is not illegal to provide it to stockholders because they are the owners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causes reported profits to increase, this can cause the stock price to rise above its intrinsic value. The stock will probably fall in the future. Both those who participated in the fraud and the firm itself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not influenced by training and auditing procedures. People are either ethical or they are not, and this is what determines ethical behavior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is not an important consideration in business and in business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short-run profits will almost always increase if the firm takes actions that the government has determined are in the best interests of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government agencies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"Whistle blowers," because of the courage it takes to blow the whistle, are generally promoted more rapidly than other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useful for large corporations to develop a formal set of rules defining ethical and unethical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are admitted to a business school, it is still useful for business schools to cover ethics, if only to give students an idea about the adverse consequences of unethical behavior to themselves, their firms, and the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ways in which firms can mitigate or reduce potential conflicts between bondholders and stockholders is by increasing the amount of debt in the firm's capital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 generally increases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compensation plans cannot be used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takeovers tends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the Securities and Exchange Commission (SEC) has eliminated conflicts between managers and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size, large corporations face fewer regulations than smaller corporations and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threat of corporate takeover increases the likelihood that managers will act in shareholders'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designed to protect bondholders and to reduce potential conflicts between stockholders and bondholders.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the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Conflicts can exist between stockholders and managers, but potential conflicts are reduced by the possibility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its intrinsic value must be greater than the actual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organizing a business as a corporation rather than a partnership is that the equity investors in a corporation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restrictive covenants in debt agreements is an effective way to reduce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generally welcome hostile takeovers since the "raider" generally offers a price for the stock that is higher than the price before the takeover action started.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impose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Well-designed bond covenants are useful for reducing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bid price in a hostile takeover is generally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price before the takeover attempt is announced, because otherwise there would be no incentive for the stockholders to sell to the hostile bidder and the takeover attempt would probably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Takeovers are most likely to be attempted if the target firm's stock price is above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Hostile takeovers are most likely to occur when a firm's stock is selling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intrinsic value as a result of poor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remove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is more in bondholders' interests than stockholders' interests for a firm to shift its investment focus away from safe, stable investments and into risky investments, especially those that primarily involve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a firm's stock is undervalued relative to its potential, then someone can profit by taking the firm over and doing a better job running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are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Relative to proprietorships, corporations generally face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regulations, and they also find it easier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stockholders and bondholders to react differently to the types of assets in which it invests.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should generally be happier than bondholders to have managers invest in risky projects with high potential returns as opposed to safe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bankruptcy requires that corporate bondholders be paid in full before stockholders receive anything, bondholders generally prefer to see corporate managers invest in high risk/high return projects rather than low risk/low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bondholders receive fixed payments, they do not share in the gains if risky projects turn out to be highly successful. However, they do share in the losses if risky projects fail and drive the firm into bankruptcy. Therefore, bondholders generally prefer to see corporate managers invest in low risk/low return projects rather than high risk/high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operating a business as a corporation is that stockholders can deduct their pro rata share of the taxes the firm pays, thereby eliminating the double taxation investors would face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you lose the limited liability that you would otherwise receive as a 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conflicts between stockholders and bondholders are increased if a firm's bonds are convertible into its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 regulations and more favorable tax treatment than do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compared to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proprietors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to forming a corporation is that the owners of the firm have 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Problems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New Business is just being formed by 10 investors, each of whom will own 10% of the business. The firm is expected to earn $1,000,000 before taxes each year. The corporate tax rate is 34% and the personal tax rate for the firm's investors is 35%. The firm does not need to retain any earnings, so all of its after-tax income will be paid out as dividends to its investors. The investors will have to pay personal taxes on whatever they receive. How much additional spendable income will each investor have if the business is organized as a partnership rather than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5"/>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W w:w="7095" w:type="dxa"/>
                    <w:jc w:val="left"/>
                    <w:tblBorders>
                      <w:top w:val="nil"/>
                      <w:left w:val="nil"/>
                      <w:bottom w:val="nil"/>
                      <w:right w:val="nil"/>
                      <w:insideH w:val="nil"/>
                      <w:insideV w:val="nil"/>
                    </w:tblBorders>
                    <w:tblCellMar>
                      <w:top w:w="0" w:type="dxa"/>
                      <w:left w:w="0" w:type="dxa"/>
                      <w:bottom w:w="0" w:type="dxa"/>
                      <w:right w:w="0" w:type="dxa"/>
                    </w:tblCellMar>
                  </w:tblPr>
                  <w:tblGrid>
                    <w:gridCol w:w="1952"/>
                    <w:gridCol w:w="1352"/>
                    <w:gridCol w:w="238"/>
                    <w:gridCol w:w="1219"/>
                    <w:gridCol w:w="919"/>
                    <w:gridCol w:w="784"/>
                    <w:gridCol w:w="417"/>
                    <w:gridCol w:w="214"/>
                  </w:tblGrid>
                  <w:tr>
                    <w:tblPrEx>
                      <w:tblW w:w="70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9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Business income:</w:t>
                        </w:r>
                      </w:p>
                    </w:tc>
                    <w:tc>
                      <w:tcPr>
                        <w:tcW w:w="14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$1,000,000</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2310" w:type="dxa"/>
                        <w:gridSpan w:val="3"/>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Corporate tax rate (T</w:t>
                        </w:r>
                        <w:r>
                          <w:rPr>
                            <w:rStyle w:val="DefaultParagraphFont"/>
                            <w:b w:val="0"/>
                            <w:bCs w:val="0"/>
                            <w:i w:val="0"/>
                            <w:iCs w:val="0"/>
                            <w:smallCaps w:val="0"/>
                            <w:color w:val="000000"/>
                            <w:sz w:val="25"/>
                            <w:szCs w:val="25"/>
                            <w:bdr w:val="nil"/>
                            <w:vertAlign w:val="subscript"/>
                            <w:rtl w:val="0"/>
                          </w:rPr>
                          <w:t>C</w:t>
                        </w:r>
                        <w:r>
                          <w:rPr>
                            <w:rStyle w:val="DefaultParagraphFont"/>
                            <w:b w:val="0"/>
                            <w:bCs w:val="0"/>
                            <w:i w:val="0"/>
                            <w:iCs w:val="0"/>
                            <w:smallCaps w:val="0"/>
                            <w:color w:val="000000"/>
                            <w:sz w:val="20"/>
                            <w:szCs w:val="20"/>
                            <w:bdr w:val="nil"/>
                            <w:rtl w:val="0"/>
                          </w:rPr>
                          <w:t>):</w:t>
                        </w:r>
                      </w:p>
                    </w:tc>
                    <w:tc>
                      <w:tcPr>
                        <w:tcW w:w="420" w:type="dxa"/>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34%</w:t>
                        </w:r>
                      </w:p>
                    </w:tc>
                    <w:tc>
                      <w:tcPr>
                        <w:tcW w:w="255"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219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Number of investors (N):</w:t>
                        </w:r>
                      </w:p>
                    </w:tc>
                    <w:tc>
                      <w:tcPr>
                        <w:tcW w:w="14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10</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2310" w:type="dxa"/>
                        <w:gridSpan w:val="3"/>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Personal tax rate (T</w:t>
                        </w:r>
                        <w:r>
                          <w:rPr>
                            <w:rStyle w:val="DefaultParagraphFont"/>
                            <w:b w:val="0"/>
                            <w:bCs w:val="0"/>
                            <w:i w:val="0"/>
                            <w:iCs w:val="0"/>
                            <w:smallCaps w:val="0"/>
                            <w:color w:val="000000"/>
                            <w:sz w:val="25"/>
                            <w:szCs w:val="25"/>
                            <w:bdr w:val="nil"/>
                            <w:vertAlign w:val="subscript"/>
                            <w:rtl w:val="0"/>
                          </w:rPr>
                          <w:t>P</w:t>
                        </w:r>
                        <w:r>
                          <w:rPr>
                            <w:rStyle w:val="DefaultParagraphFont"/>
                            <w:b w:val="0"/>
                            <w:bCs w:val="0"/>
                            <w:i w:val="0"/>
                            <w:iCs w:val="0"/>
                            <w:smallCaps w:val="0"/>
                            <w:color w:val="000000"/>
                            <w:sz w:val="20"/>
                            <w:szCs w:val="20"/>
                            <w:bdr w:val="nil"/>
                            <w:rtl w:val="0"/>
                          </w:rPr>
                          <w:t>):</w:t>
                        </w:r>
                      </w:p>
                    </w:tc>
                    <w:tc>
                      <w:tcPr>
                        <w:tcW w:w="420" w:type="dxa"/>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35%</w:t>
                        </w:r>
                      </w:p>
                    </w:tc>
                    <w:tc>
                      <w:tcPr>
                        <w:tcW w:w="255"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Corporation:</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Corporate taxes</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340,000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Income after corporate tax, paid to investors (stockholders) as dividends</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660,000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Tax on dividends</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u w:val="single"/>
                            <w:bdr w:val="nil"/>
                            <w:rtl w:val="0"/>
                          </w:rPr>
                          <w:t>    231,000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750" w:type="dxa"/>
                        <w:noWrap w:val="0"/>
                        <w:tcMar>
                          <w:top w:w="0" w:type="dxa"/>
                          <w:left w:w="0" w:type="dxa"/>
                          <w:bottom w:w="0" w:type="dxa"/>
                          <w:right w:w="0" w:type="dxa"/>
                        </w:tcMar>
                        <w:vAlign w:val="bottom"/>
                      </w:tcPr>
                      <w:p>
                        <w:pPr>
                          <w:bidi w:val="0"/>
                          <w:jc w:val="right"/>
                        </w:pPr>
                      </w:p>
                    </w:tc>
                    <w:tc>
                      <w:tcPr>
                        <w:tcW w:w="945" w:type="dxa"/>
                        <w:tcBorders>
                          <w:bottom w:val="double" w:sz="8" w:space="0" w:color="808080"/>
                        </w:tcBorders>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429,000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Partnership:</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Taxes paid by business</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Income received by investors (partners)</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1,000,000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Taxes paid by partners as personal income</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u w:val="single"/>
                            <w:bdr w:val="nil"/>
                            <w:rtl w:val="0"/>
                          </w:rPr>
                          <w:t>    650,000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noWrap w:val="0"/>
                        <w:tcMar>
                          <w:top w:w="0" w:type="dxa"/>
                          <w:left w:w="0" w:type="dxa"/>
                          <w:bottom w:w="0" w:type="dxa"/>
                          <w:right w:w="0" w:type="dxa"/>
                        </w:tcMar>
                        <w:vAlign w:val="bottom"/>
                      </w:tcPr>
                      <w:p>
                        <w:pPr>
                          <w:bidi w:val="0"/>
                          <w:jc w:val="right"/>
                        </w:pPr>
                      </w:p>
                    </w:tc>
                    <w:tc>
                      <w:tcPr>
                        <w:tcW w:w="945" w:type="dxa"/>
                        <w:tcBorders>
                          <w:bottom w:val="double" w:sz="8" w:space="0" w:color="808080"/>
                        </w:tcBorders>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350,000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Difference in spendable income: total gain from being a partnership</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221,000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gridSpan w:val="2"/>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r>
                  <w:tr>
                    <w:tblPrEx>
                      <w:tblW w:w="7095" w:type="dxa"/>
                      <w:jc w:val="left"/>
                      <w:tblCellMar>
                        <w:top w:w="0" w:type="dxa"/>
                        <w:left w:w="0" w:type="dxa"/>
                        <w:bottom w:w="0" w:type="dxa"/>
                        <w:right w:w="0" w:type="dxa"/>
                      </w:tblCellMar>
                    </w:tblPrEx>
                    <w:trPr>
                      <w:cantSplit w:val="0"/>
                      <w:jc w:val="left"/>
                    </w:trPr>
                    <w:tc>
                      <w:tcPr>
                        <w:tcW w:w="3615"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Individual investor gain</w:t>
                        </w:r>
                      </w:p>
                    </w:tc>
                    <w:tc>
                      <w:tcPr>
                        <w:tcW w:w="28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365" w:type="dxa"/>
                        <w:noWrap w:val="0"/>
                        <w:tcMar>
                          <w:top w:w="0" w:type="dxa"/>
                          <w:left w:w="0" w:type="dxa"/>
                          <w:bottom w:w="0" w:type="dxa"/>
                          <w:right w:w="0" w:type="dxa"/>
                        </w:tcMar>
                        <w:vAlign w:val="bottom"/>
                      </w:tcPr>
                      <w:p>
                        <w:pPr>
                          <w:bidi w:val="0"/>
                          <w:jc w:val="right"/>
                        </w:pPr>
                      </w:p>
                    </w:tc>
                    <w:tc>
                      <w:tcPr>
                        <w:tcW w:w="960" w:type="dxa"/>
                        <w:tcBorders>
                          <w:bottom w:val="double" w:sz="8" w:space="0" w:color="808080"/>
                        </w:tcBorders>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22,100</w:t>
                        </w:r>
                      </w:p>
                    </w:tc>
                    <w:tc>
                      <w:tcPr>
                        <w:tcW w:w="94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675" w:type="dxa"/>
                        <w:gridSpan w:val="2"/>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BUSPROG.FOFM.BRIG.16.03 -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corporate tax rate is 34% and the personal tax rate is 35%. The founders of a newly formed business are debating between setting up the firm as a partnership versus a corporation. The firm will not need to retain any earnings, so all of its after-tax income will be paid out to its investors, who will have to pay personal taxes on whatever they receive. What is the difference in the percentage of the firm's pre-tax income that investors actually receive and can spend under the corporate and partnership forms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4"/>
              <w:gridCol w:w="6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262"/>
                    <w:gridCol w:w="1117"/>
                    <w:gridCol w:w="2117"/>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Corporate tax rate (T</w:t>
                        </w:r>
                        <w:r>
                          <w:rPr>
                            <w:rStyle w:val="DefaultParagraphFont"/>
                            <w:b w:val="0"/>
                            <w:bCs w:val="0"/>
                            <w:i w:val="0"/>
                            <w:iCs w:val="0"/>
                            <w:smallCaps w:val="0"/>
                            <w:color w:val="000000"/>
                            <w:sz w:val="25"/>
                            <w:szCs w:val="25"/>
                            <w:bdr w:val="nil"/>
                            <w:vertAlign w:val="subscript"/>
                            <w:rtl w:val="0"/>
                          </w:rPr>
                          <w:t>C</w:t>
                        </w:r>
                        <w:r>
                          <w:rPr>
                            <w:rStyle w:val="DefaultParagraphFont"/>
                            <w:b w:val="0"/>
                            <w:bCs w:val="0"/>
                            <w:i w:val="0"/>
                            <w:iCs w:val="0"/>
                            <w:smallCaps w:val="0"/>
                            <w:color w:val="000000"/>
                            <w:sz w:val="20"/>
                            <w:szCs w:val="20"/>
                            <w:bdr w:val="nil"/>
                            <w:rtl w:val="0"/>
                          </w:rPr>
                          <w:t>):</w:t>
                        </w:r>
                      </w:p>
                    </w:tc>
                    <w:tc>
                      <w:tcPr>
                        <w:tcW w:w="1440"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34%</w:t>
                        </w:r>
                      </w:p>
                    </w:tc>
                    <w:tc>
                      <w:tcPr>
                        <w:tcW w:w="2715"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Personal tax rate (T</w:t>
                        </w:r>
                        <w:r>
                          <w:rPr>
                            <w:rStyle w:val="DefaultParagraphFont"/>
                            <w:b w:val="0"/>
                            <w:bCs w:val="0"/>
                            <w:i w:val="0"/>
                            <w:iCs w:val="0"/>
                            <w:smallCaps w:val="0"/>
                            <w:color w:val="000000"/>
                            <w:sz w:val="25"/>
                            <w:szCs w:val="25"/>
                            <w:bdr w:val="nil"/>
                            <w:vertAlign w:val="subscript"/>
                            <w:rtl w:val="0"/>
                          </w:rPr>
                          <w:t>P</w:t>
                        </w:r>
                        <w:r>
                          <w:rPr>
                            <w:rStyle w:val="DefaultParagraphFont"/>
                            <w:b w:val="0"/>
                            <w:bCs w:val="0"/>
                            <w:i w:val="0"/>
                            <w:iCs w:val="0"/>
                            <w:smallCaps w:val="0"/>
                            <w:color w:val="000000"/>
                            <w:sz w:val="20"/>
                            <w:szCs w:val="20"/>
                            <w:bdr w:val="nil"/>
                            <w:rtl w:val="0"/>
                          </w:rPr>
                          <w:t>):</w:t>
                        </w:r>
                      </w:p>
                    </w:tc>
                    <w:tc>
                      <w:tcPr>
                        <w:tcW w:w="1605" w:type="dxa"/>
                        <w:noWrap w:val="0"/>
                        <w:tcMar>
                          <w:top w:w="0" w:type="dxa"/>
                          <w:left w:w="0" w:type="dxa"/>
                          <w:bottom w:w="0" w:type="dxa"/>
                          <w:right w:w="0" w:type="dxa"/>
                        </w:tcMar>
                        <w:vAlign w:val="bottom"/>
                      </w:tcPr>
                      <w:p>
                        <w:pPr>
                          <w:pStyle w:val="p"/>
                          <w:bidi w:val="0"/>
                          <w:spacing w:before="0" w:beforeAutospacing="0" w:after="0" w:afterAutospacing="0"/>
                        </w:pPr>
                        <w:r>
                          <w:rPr>
                            <w:rStyle w:val="DefaultParagraphFont"/>
                            <w:b w:val="0"/>
                            <w:bCs w:val="0"/>
                            <w:i w:val="0"/>
                            <w:iCs w:val="0"/>
                            <w:smallCaps w:val="0"/>
                            <w:color w:val="000000"/>
                            <w:sz w:val="20"/>
                            <w:szCs w:val="20"/>
                            <w:bdr w:val="nil"/>
                            <w:rtl w:val="0"/>
                          </w:rPr>
                          <w:t>35%</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Corporation: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91"/>
                    <w:gridCol w:w="264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910" w:type="dxa"/>
                        <w:gridSpan w:val="3"/>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Corporate net = Business pre-tax income (1 − T</w:t>
                        </w:r>
                        <w:r>
                          <w:rPr>
                            <w:rStyle w:val="DefaultParagraphFont"/>
                            <w:b w:val="0"/>
                            <w:bCs w:val="0"/>
                            <w:i w:val="0"/>
                            <w:iCs w:val="0"/>
                            <w:smallCaps w:val="0"/>
                            <w:color w:val="000000"/>
                            <w:sz w:val="25"/>
                            <w:szCs w:val="25"/>
                            <w:bdr w:val="nil"/>
                            <w:vertAlign w:val="subscript"/>
                            <w:rtl w:val="0"/>
                          </w:rPr>
                          <w:t>C</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3960" w:type="dxa"/>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Investors' net = Corporate net (1 − T</w:t>
                        </w:r>
                        <w:r>
                          <w:rPr>
                            <w:rStyle w:val="DefaultParagraphFont"/>
                            <w:b w:val="0"/>
                            <w:bCs w:val="0"/>
                            <w:i w:val="0"/>
                            <w:iCs w:val="0"/>
                            <w:smallCaps w:val="0"/>
                            <w:color w:val="000000"/>
                            <w:sz w:val="25"/>
                            <w:szCs w:val="25"/>
                            <w:bdr w:val="nil"/>
                            <w:vertAlign w:val="subscript"/>
                            <w:rtl w:val="0"/>
                          </w:rPr>
                          <w:t>P</w:t>
                        </w:r>
                        <w:r>
                          <w:rPr>
                            <w:rStyle w:val="DefaultParagraphFont"/>
                            <w:b w:val="0"/>
                            <w:bCs w:val="0"/>
                            <w:i w:val="0"/>
                            <w:iCs w:val="0"/>
                            <w:smallCaps w:val="0"/>
                            <w:color w:val="000000"/>
                            <w:sz w:val="20"/>
                            <w:szCs w:val="20"/>
                            <w:bdr w:val="nil"/>
                            <w:rtl w:val="0"/>
                          </w:rPr>
                          <w:t>)</w:t>
                        </w:r>
                      </w:p>
                    </w:tc>
                    <w:tc>
                      <w:tcPr>
                        <w:tcW w:w="4950" w:type="dxa"/>
                        <w:gridSpan w:val="2"/>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Business pre-tax net (1 − T</w:t>
                        </w:r>
                        <w:r>
                          <w:rPr>
                            <w:rStyle w:val="DefaultParagraphFont"/>
                            <w:b w:val="0"/>
                            <w:bCs w:val="0"/>
                            <w:i w:val="0"/>
                            <w:iCs w:val="0"/>
                            <w:smallCaps w:val="0"/>
                            <w:color w:val="000000"/>
                            <w:sz w:val="25"/>
                            <w:szCs w:val="25"/>
                            <w:bdr w:val="nil"/>
                            <w:vertAlign w:val="subscript"/>
                            <w:rtl w:val="0"/>
                          </w:rPr>
                          <w:t>C</w:t>
                        </w:r>
                        <w:r>
                          <w:rPr>
                            <w:rStyle w:val="DefaultParagraphFont"/>
                            <w:b w:val="0"/>
                            <w:bCs w:val="0"/>
                            <w:i w:val="0"/>
                            <w:iCs w:val="0"/>
                            <w:smallCaps w:val="0"/>
                            <w:color w:val="000000"/>
                            <w:sz w:val="20"/>
                            <w:szCs w:val="20"/>
                            <w:bdr w:val="nil"/>
                            <w:rtl w:val="0"/>
                          </w:rPr>
                          <w:t>)(1 − T</w:t>
                        </w:r>
                        <w:r>
                          <w:rPr>
                            <w:rStyle w:val="DefaultParagraphFont"/>
                            <w:b w:val="0"/>
                            <w:bCs w:val="0"/>
                            <w:i w:val="0"/>
                            <w:iCs w:val="0"/>
                            <w:smallCaps w:val="0"/>
                            <w:color w:val="000000"/>
                            <w:sz w:val="25"/>
                            <w:szCs w:val="25"/>
                            <w:bdr w:val="nil"/>
                            <w:vertAlign w:val="subscript"/>
                            <w:rtl w:val="0"/>
                          </w:rPr>
                          <w:t>P</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396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357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Business pre-tax net × 66% × 65%</w:t>
                        </w:r>
                      </w:p>
                    </w:tc>
                    <w:tc>
                      <w:tcPr>
                        <w:tcW w:w="13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42.9%</w:t>
                        </w:r>
                      </w:p>
                    </w:tc>
                  </w:tr>
                  <w:tr>
                    <w:tblPrEx>
                      <w:jc w:val="left"/>
                      <w:tblCellMar>
                        <w:top w:w="0" w:type="dxa"/>
                        <w:left w:w="0" w:type="dxa"/>
                        <w:bottom w:w="0" w:type="dxa"/>
                        <w:right w:w="0" w:type="dxa"/>
                      </w:tblCellMar>
                    </w:tblPrEx>
                    <w:trPr>
                      <w:cantSplit w:val="0"/>
                      <w:jc w:val="left"/>
                    </w:trPr>
                    <w:tc>
                      <w:tcPr>
                        <w:tcW w:w="396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Partnership:</w:t>
                        </w:r>
                      </w:p>
                    </w:tc>
                    <w:tc>
                      <w:tcPr>
                        <w:tcW w:w="357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138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7530"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The business pays no tax, but investors pay tax on business income.</w:t>
                        </w:r>
                      </w:p>
                    </w:tc>
                    <w:tc>
                      <w:tcPr>
                        <w:tcW w:w="138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7530" w:type="dxa"/>
                        <w:gridSpan w:val="2"/>
                        <w:noWrap w:val="0"/>
                        <w:tcMar>
                          <w:top w:w="0" w:type="dxa"/>
                          <w:left w:w="0" w:type="dxa"/>
                          <w:bottom w:w="0" w:type="dxa"/>
                          <w:right w:w="0" w:type="dxa"/>
                        </w:tcMar>
                        <w:vAlign w:val="bottom"/>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Investors' net = Business pre-tax net (1</w:t>
                        </w:r>
                        <w:r>
                          <w:rPr>
                            <w:rStyle w:val="DefaultParagraphFont"/>
                            <w:b w:val="0"/>
                            <w:bCs w:val="0"/>
                            <w:i w:val="0"/>
                            <w:iCs w:val="0"/>
                            <w:smallCaps w:val="0"/>
                            <w:color w:val="000000"/>
                            <w:sz w:val="20"/>
                            <w:szCs w:val="20"/>
                            <w:bdr w:val="nil"/>
                            <w:rtl w:val="0"/>
                          </w:rPr>
                          <w:t xml:space="preserve"> </w:t>
                        </w:r>
                        <w:r>
                          <w:rPr>
                            <w:rStyle w:val="DefaultParagraphFont"/>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w:t>
                        </w:r>
                        <w:r>
                          <w:rPr>
                            <w:rStyle w:val="DefaultParagraphFont"/>
                            <w:b w:val="0"/>
                            <w:bCs w:val="0"/>
                            <w:i w:val="0"/>
                            <w:iCs w:val="0"/>
                            <w:smallCaps w:val="0"/>
                            <w:color w:val="000000"/>
                            <w:sz w:val="20"/>
                            <w:szCs w:val="20"/>
                            <w:bdr w:val="nil"/>
                            <w:rtl w:val="0"/>
                          </w:rPr>
                          <w:t>T</w:t>
                        </w:r>
                        <w:r>
                          <w:rPr>
                            <w:rStyle w:val="DefaultParagraphFont"/>
                            <w:b w:val="0"/>
                            <w:bCs w:val="0"/>
                            <w:i w:val="0"/>
                            <w:iCs w:val="0"/>
                            <w:smallCaps w:val="0"/>
                            <w:color w:val="000000"/>
                            <w:sz w:val="20"/>
                            <w:szCs w:val="20"/>
                            <w:bdr w:val="nil"/>
                            <w:rtl w:val="0"/>
                          </w:rPr>
                          <w:t>P</w:t>
                        </w:r>
                        <w:r>
                          <w:rPr>
                            <w:rStyle w:val="DefaultParagraphFont"/>
                            <w:b w:val="0"/>
                            <w:bCs w:val="0"/>
                            <w:i w:val="0"/>
                            <w:iCs w:val="0"/>
                            <w:smallCaps w:val="0"/>
                            <w:color w:val="000000"/>
                            <w:sz w:val="20"/>
                            <w:szCs w:val="20"/>
                            <w:bdr w:val="nil"/>
                            <w:rtl w:val="0"/>
                          </w:rPr>
                          <w:t>) = Business pre-tax net (1</w:t>
                        </w:r>
                        <w:r>
                          <w:rPr>
                            <w:rStyle w:val="DefaultParagraphFont"/>
                            <w:b w:val="0"/>
                            <w:bCs w:val="0"/>
                            <w:i w:val="0"/>
                            <w:iCs w:val="0"/>
                            <w:smallCaps w:val="0"/>
                            <w:color w:val="000000"/>
                            <w:sz w:val="20"/>
                            <w:szCs w:val="20"/>
                            <w:bdr w:val="nil"/>
                            <w:rtl w:val="0"/>
                          </w:rPr>
                          <w:t xml:space="preserve"> </w:t>
                        </w:r>
                        <w:r>
                          <w:rPr>
                            <w:rStyle w:val="DefaultParagraphFont"/>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w:t>
                        </w:r>
                        <w:r>
                          <w:rPr>
                            <w:rStyle w:val="DefaultParagraphFont"/>
                            <w:b w:val="0"/>
                            <w:bCs w:val="0"/>
                            <w:i w:val="0"/>
                            <w:iCs w:val="0"/>
                            <w:smallCaps w:val="0"/>
                            <w:color w:val="000000"/>
                            <w:sz w:val="20"/>
                            <w:szCs w:val="20"/>
                            <w:bdr w:val="nil"/>
                            <w:rtl w:val="0"/>
                          </w:rPr>
                          <w:t>T</w:t>
                        </w:r>
                        <w:r>
                          <w:rPr>
                            <w:rStyle w:val="DefaultParagraphFont"/>
                            <w:b w:val="0"/>
                            <w:bCs w:val="0"/>
                            <w:i w:val="0"/>
                            <w:iCs w:val="0"/>
                            <w:smallCaps w:val="0"/>
                            <w:color w:val="000000"/>
                            <w:sz w:val="20"/>
                            <w:szCs w:val="20"/>
                            <w:bdr w:val="nil"/>
                            <w:rtl w:val="0"/>
                          </w:rPr>
                          <w:t>P</w:t>
                        </w:r>
                        <w:r>
                          <w:rPr>
                            <w:rStyle w:val="DefaultParagraphFont"/>
                            <w:b w:val="0"/>
                            <w:bCs w:val="0"/>
                            <w:i w:val="0"/>
                            <w:iCs w:val="0"/>
                            <w:smallCaps w:val="0"/>
                            <w:color w:val="000000"/>
                            <w:sz w:val="20"/>
                            <w:szCs w:val="20"/>
                            <w:bdr w:val="nil"/>
                            <w:rtl w:val="0"/>
                          </w:rPr>
                          <w:t>)</w:t>
                        </w:r>
                      </w:p>
                    </w:tc>
                    <w:tc>
                      <w:tcPr>
                        <w:tcW w:w="1380" w:type="dxa"/>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65%</w:t>
                        </w:r>
                      </w:p>
                    </w:tc>
                  </w:tr>
                  <w:tr>
                    <w:tblPrEx>
                      <w:jc w:val="left"/>
                      <w:tblCellMar>
                        <w:top w:w="0" w:type="dxa"/>
                        <w:left w:w="0" w:type="dxa"/>
                        <w:bottom w:w="0" w:type="dxa"/>
                        <w:right w:w="0" w:type="dxa"/>
                      </w:tblCellMar>
                    </w:tblPrEx>
                    <w:trPr>
                      <w:cantSplit w:val="0"/>
                      <w:jc w:val="left"/>
                    </w:trPr>
                    <w:tc>
                      <w:tcPr>
                        <w:tcW w:w="396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357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138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3960" w:type="dxa"/>
                        <w:noWrap w:val="0"/>
                        <w:tcMar>
                          <w:top w:w="0" w:type="dxa"/>
                          <w:left w:w="0" w:type="dxa"/>
                          <w:bottom w:w="0" w:type="dxa"/>
                          <w:right w:w="0" w:type="dxa"/>
                        </w:tcMar>
                        <w:vAlign w:val="bottom"/>
                      </w:tcPr>
                      <w:p>
                        <w:pPr>
                          <w:bidi w:val="0"/>
                        </w:pPr>
                        <w:r>
                          <w:rPr>
                            <w:rStyle w:val="DefaultParagraphFont"/>
                            <w:b w:val="0"/>
                            <w:bCs w:val="0"/>
                            <w:i w:val="0"/>
                            <w:iCs w:val="0"/>
                            <w:smallCaps w:val="0"/>
                            <w:color w:val="000000"/>
                            <w:sz w:val="20"/>
                            <w:szCs w:val="20"/>
                            <w:bdr w:val="nil"/>
                            <w:rtl w:val="0"/>
                          </w:rPr>
                          <w:t> </w:t>
                        </w:r>
                      </w:p>
                    </w:tc>
                    <w:tc>
                      <w:tcPr>
                        <w:tcW w:w="3570" w:type="dxa"/>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Difference</w:t>
                        </w:r>
                      </w:p>
                    </w:tc>
                    <w:tc>
                      <w:tcPr>
                        <w:tcW w:w="1380" w:type="dxa"/>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22.1%</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BUSPROG.FOFM.BRIG.16.03 -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Charleston Corporation (CC) now operates as a "regular" corporation, but it is considering a switch to S Corporation status. CC is owned by 100 stockholders who each hold 1% of the stock, and each faces a personal tax rate of 35%. The firm earns $2,000,000 per year before taxes, and since it has no need for retained earnings, it pays out all of its earnings as dividends. Assume that the corporate tax rate is 34% and the personal tax rate is 35%. How much more (or less) spendable income would each stockholder have if the firm elected S Corporation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2,565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8,580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9"/>
              <w:gridCol w:w="6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159"/>
                    <w:gridCol w:w="1287"/>
                    <w:gridCol w:w="201"/>
                    <w:gridCol w:w="2117"/>
                    <w:gridCol w:w="1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Business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$2,000,000</w:t>
                        </w:r>
                      </w:p>
                    </w:tc>
                    <w:tc>
                      <w:tcPr>
                        <w:tcW w:w="3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277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Corporate tax rate (T</w:t>
                        </w:r>
                        <w:r>
                          <w:rPr>
                            <w:rStyle w:val="DefaultParagraphFont"/>
                            <w:b w:val="0"/>
                            <w:bCs w:val="0"/>
                            <w:i w:val="0"/>
                            <w:iCs w:val="0"/>
                            <w:smallCaps w:val="0"/>
                            <w:color w:val="000000"/>
                            <w:sz w:val="25"/>
                            <w:szCs w:val="25"/>
                            <w:bdr w:val="nil"/>
                            <w:vertAlign w:val="subscript"/>
                            <w:rtl w:val="0"/>
                          </w:rPr>
                          <w:t>C</w:t>
                        </w:r>
                        <w:r>
                          <w:rPr>
                            <w:rStyle w:val="DefaultParagraphFont"/>
                            <w:b w:val="0"/>
                            <w:bCs w:val="0"/>
                            <w:i w:val="0"/>
                            <w:iCs w:val="0"/>
                            <w:smallCaps w:val="0"/>
                            <w:color w:val="000000"/>
                            <w:sz w:val="20"/>
                            <w:szCs w:val="20"/>
                            <w:bdr w:val="nil"/>
                            <w:rtl w:val="0"/>
                          </w:rPr>
                          <w: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34%</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Number of investors (N):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100</w:t>
                        </w:r>
                      </w:p>
                    </w:tc>
                    <w:tc>
                      <w:tcPr>
                        <w:tcW w:w="3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277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Personal tax rate (T</w:t>
                        </w:r>
                        <w:r>
                          <w:rPr>
                            <w:rStyle w:val="DefaultParagraphFont"/>
                            <w:b w:val="0"/>
                            <w:bCs w:val="0"/>
                            <w:i w:val="0"/>
                            <w:iCs w:val="0"/>
                            <w:smallCaps w:val="0"/>
                            <w:color w:val="000000"/>
                            <w:sz w:val="25"/>
                            <w:szCs w:val="25"/>
                            <w:bdr w:val="nil"/>
                            <w:vertAlign w:val="subscript"/>
                            <w:rtl w:val="0"/>
                          </w:rPr>
                          <w:t>P</w:t>
                        </w:r>
                        <w:r>
                          <w:rPr>
                            <w:rStyle w:val="DefaultParagraphFont"/>
                            <w:b w:val="0"/>
                            <w:bCs w:val="0"/>
                            <w:i w:val="0"/>
                            <w:iCs w:val="0"/>
                            <w:smallCaps w:val="0"/>
                            <w:color w:val="000000"/>
                            <w:sz w:val="20"/>
                            <w:szCs w:val="20"/>
                            <w:bdr w:val="nil"/>
                            <w:rtl w:val="0"/>
                          </w:rPr>
                          <w: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35%</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Corporation: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62"/>
                    <w:gridCol w:w="878"/>
                    <w:gridCol w:w="1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Corporate taxes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ind w:left="300"/>
                          <w:jc w:val="right"/>
                        </w:pPr>
                        <w:r>
                          <w:rPr>
                            <w:rStyle w:val="DefaultParagraphFont"/>
                            <w:b w:val="0"/>
                            <w:bCs w:val="0"/>
                            <w:i w:val="0"/>
                            <w:iCs w:val="0"/>
                            <w:smallCaps w:val="0"/>
                            <w:color w:val="000000"/>
                            <w:sz w:val="20"/>
                            <w:szCs w:val="20"/>
                            <w:bdr w:val="nil"/>
                            <w:rtl w:val="0"/>
                          </w:rPr>
                          <w:t>$   680,000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Income after corporate tax, paid to investors (stockholders) as dividends</w:t>
                        </w:r>
                      </w:p>
                    </w:tc>
                    <w:tc>
                      <w:tcPr>
                        <w:tcW w:w="1440"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1,320,000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Tax on dividends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u w:val="single"/>
                            <w:bdr w:val="nil"/>
                            <w:rtl w:val="0"/>
                          </w:rPr>
                          <w:t>    462,000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 total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w:t>
                        </w:r>
                      </w:p>
                    </w:tc>
                    <w:tc>
                      <w:tcPr>
                        <w:tcW w:w="945" w:type="dxa"/>
                        <w:tcBorders>
                          <w:bottom w:val="double" w:sz="8" w:space="0" w:color="808080"/>
                        </w:tcBorders>
                        <w:noWrap w:val="0"/>
                        <w:tcMar>
                          <w:top w:w="0" w:type="dxa"/>
                          <w:left w:w="0" w:type="dxa"/>
                          <w:bottom w:w="0" w:type="dxa"/>
                          <w:right w:w="0" w:type="dxa"/>
                        </w:tcMar>
                        <w:vAlign w:val="bottom"/>
                      </w:tcPr>
                      <w:p>
                        <w:pPr>
                          <w:bidi w:val="0"/>
                          <w:jc w:val="right"/>
                        </w:pPr>
                        <w:r>
                          <w:rPr>
                            <w:rStyle w:val="DefaultParagraphFont"/>
                            <w:b w:val="0"/>
                            <w:bCs w:val="0"/>
                            <w:i w:val="0"/>
                            <w:iCs w:val="0"/>
                            <w:smallCaps w:val="0"/>
                            <w:color w:val="000000"/>
                            <w:sz w:val="20"/>
                            <w:szCs w:val="20"/>
                            <w:bdr w:val="nil"/>
                            <w:rtl w:val="0"/>
                          </w:rPr>
                          <w:t>$  858,000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 each (100 investors)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b w:val="0"/>
                            <w:bCs w:val="0"/>
                            <w:i w:val="0"/>
                            <w:iCs w:val="0"/>
                            <w:smallCaps w:val="0"/>
                            <w:color w:val="000000"/>
                            <w:sz w:val="20"/>
                            <w:szCs w:val="20"/>
                            <w:bdr w:val="nil"/>
                            <w:rtl w:val="0"/>
                          </w:rPr>
                          <w:t>$      8,580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S Corporation:</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Taxes paid by business</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Income received by investors</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2,000,000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Taxes paid by investors as personal income</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u w:val="single"/>
                            <w:bdr w:val="nil"/>
                            <w:rtl w:val="0"/>
                          </w:rPr>
                          <w:t>    700,000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 total</w:t>
                        </w:r>
                      </w:p>
                    </w:tc>
                    <w:tc>
                      <w:tcPr>
                        <w:tcW w:w="1440" w:type="dxa"/>
                        <w:noWrap w:val="0"/>
                        <w:tcMar>
                          <w:top w:w="0" w:type="dxa"/>
                          <w:left w:w="0" w:type="dxa"/>
                          <w:bottom w:w="0" w:type="dxa"/>
                          <w:right w:w="0" w:type="dxa"/>
                        </w:tcMar>
                        <w:vAlign w:val="center"/>
                      </w:tcPr>
                      <w:p>
                        <w:pPr>
                          <w:bidi w:val="0"/>
                          <w:jc w:val="right"/>
                        </w:pPr>
                      </w:p>
                    </w:tc>
                    <w:tc>
                      <w:tcPr>
                        <w:tcW w:w="945" w:type="dxa"/>
                        <w:tcBorders>
                          <w:bottom w:val="double" w:sz="8" w:space="0" w:color="808080"/>
                        </w:tcBorders>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$1,300,000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300"/>
                        </w:pPr>
                        <w:r>
                          <w:rPr>
                            <w:rStyle w:val="DefaultParagraphFont"/>
                            <w:b w:val="0"/>
                            <w:bCs w:val="0"/>
                            <w:i w:val="0"/>
                            <w:iCs w:val="0"/>
                            <w:smallCaps w:val="0"/>
                            <w:color w:val="000000"/>
                            <w:sz w:val="20"/>
                            <w:szCs w:val="20"/>
                            <w:bdr w:val="nil"/>
                            <w:rtl w:val="0"/>
                          </w:rPr>
                          <w:t>Spendable income, each (100 investors)</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13,000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 </w:t>
                        </w:r>
                      </w:p>
                    </w:tc>
                    <w:tc>
                      <w:tcPr>
                        <w:tcW w:w="1440" w:type="dxa"/>
                        <w:gridSpan w:val="2"/>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0"/>
                            <w:szCs w:val="20"/>
                            <w:bdr w:val="nil"/>
                            <w:rtl w:val="0"/>
                          </w:rPr>
                          <w:t>Difference in spendable income: gain from being an S Corporation</w:t>
                        </w:r>
                      </w:p>
                    </w:tc>
                    <w:tc>
                      <w:tcPr>
                        <w:tcW w:w="1440" w:type="dxa"/>
                        <w:noWrap w:val="0"/>
                        <w:tcMar>
                          <w:top w:w="0" w:type="dxa"/>
                          <w:left w:w="0" w:type="dxa"/>
                          <w:bottom w:w="0" w:type="dxa"/>
                          <w:right w:w="0" w:type="dxa"/>
                        </w:tcMar>
                        <w:vAlign w:val="center"/>
                      </w:tcPr>
                      <w:p>
                        <w:pPr>
                          <w:bidi w:val="0"/>
                          <w:jc w:val="right"/>
                        </w:pPr>
                      </w:p>
                    </w:tc>
                    <w:tc>
                      <w:tcPr>
                        <w:tcW w:w="945" w:type="dxa"/>
                        <w:tcBorders>
                          <w:bottom w:val="double" w:sz="8" w:space="0" w:color="808080"/>
                        </w:tcBorders>
                        <w:noWrap w:val="0"/>
                        <w:tcMar>
                          <w:top w:w="0" w:type="dxa"/>
                          <w:left w:w="0" w:type="dxa"/>
                          <w:bottom w:w="0" w:type="dxa"/>
                          <w:right w:w="0" w:type="dxa"/>
                        </w:tcMar>
                        <w:vAlign w:val="center"/>
                      </w:tcPr>
                      <w:p>
                        <w:pPr>
                          <w:bidi w:val="0"/>
                          <w:jc w:val="right"/>
                        </w:pPr>
                        <w:r>
                          <w:rPr>
                            <w:rStyle w:val="DefaultParagraphFont"/>
                            <w:b w:val="0"/>
                            <w:bCs w:val="0"/>
                            <w:i w:val="0"/>
                            <w:iCs w:val="0"/>
                            <w:smallCaps w:val="0"/>
                            <w:color w:val="000000"/>
                            <w:sz w:val="20"/>
                            <w:szCs w:val="20"/>
                            <w:bdr w:val="nil"/>
                            <w:rtl w:val="0"/>
                          </w:rPr>
                          <w:t>$      4,420</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FOFM.BRIG.16.01.03 -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BUSPROG.FOFM.BRIG.16.03 -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DISC.FOFM.BRIG.16.06 -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01—AN OVERVIEW OF FINANCIAL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01—AN OVERVIEW OF FINANCIAL MANAGEMENT</dc:title>
  <cp:revision>0</cp:revision>
</cp:coreProperties>
</file>